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12AA0" w14:textId="77777777" w:rsidR="00CE25D5" w:rsidRPr="00CE25D5" w:rsidRDefault="00CE25D5" w:rsidP="00CE25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sz w:val="24"/>
          <w:szCs w:val="24"/>
          <w:lang w:eastAsia="es-ES" w:bidi="ar-SA"/>
        </w:rPr>
      </w:pPr>
      <w:r w:rsidRPr="00CE25D5">
        <w:rPr>
          <w:rFonts w:ascii="Calibri" w:eastAsia="Calibri" w:hAnsi="Calibri" w:cs="Times New Roman"/>
          <w:noProof/>
          <w:sz w:val="24"/>
          <w:szCs w:val="24"/>
          <w:lang w:bidi="ar-SA"/>
        </w:rPr>
        <w:drawing>
          <wp:inline distT="0" distB="0" distL="0" distR="0" wp14:anchorId="7775599F" wp14:editId="6BFC1CF9">
            <wp:extent cx="478499" cy="337820"/>
            <wp:effectExtent l="0" t="0" r="0" b="508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F14D3446-22C5-4107-B817-2B9C512EB1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F14D3446-22C5-4107-B817-2B9C512EB1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593" cy="35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D1B48" w14:textId="77777777" w:rsidR="00CE25D5" w:rsidRPr="00CE25D5" w:rsidRDefault="00CE25D5" w:rsidP="00CE25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sz w:val="24"/>
          <w:szCs w:val="24"/>
          <w:lang w:eastAsia="es-ES" w:bidi="ar-SA"/>
        </w:rPr>
      </w:pPr>
      <w:r w:rsidRPr="00CE25D5">
        <w:rPr>
          <w:rFonts w:ascii="Calibri" w:eastAsia="Times New Roman" w:hAnsi="Calibri" w:cs="Calibri"/>
          <w:color w:val="0070C0"/>
          <w:kern w:val="24"/>
          <w:sz w:val="24"/>
          <w:szCs w:val="24"/>
          <w:lang w:eastAsia="es-ES" w:bidi="ar-SA"/>
        </w:rPr>
        <w:t>Aula SEIS</w:t>
      </w:r>
    </w:p>
    <w:p w14:paraId="54FC8D38" w14:textId="77777777" w:rsidR="00CE25D5" w:rsidRPr="00CE25D5" w:rsidRDefault="00CE25D5" w:rsidP="00CE25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eastAsia="Times New Roman" w:hAnsi="Calibri" w:cs="Calibri"/>
          <w:color w:val="0070C0"/>
          <w:kern w:val="24"/>
          <w:sz w:val="24"/>
          <w:szCs w:val="24"/>
          <w:lang w:eastAsia="es-ES" w:bidi="ar-SA"/>
        </w:rPr>
      </w:pPr>
    </w:p>
    <w:p w14:paraId="77C2850B" w14:textId="1EB519E8" w:rsidR="00CE25D5" w:rsidRPr="00CE25D5" w:rsidRDefault="00CE25D5" w:rsidP="00CE25D5">
      <w:pPr>
        <w:spacing w:after="0"/>
        <w:jc w:val="center"/>
        <w:outlineLvl w:val="1"/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eastAsia="es-ES" w:bidi="ar-SA"/>
        </w:rPr>
      </w:pPr>
      <w:r>
        <w:rPr>
          <w:rFonts w:ascii="Calibri Light" w:eastAsia="Times New Roman" w:hAnsi="Calibri Light" w:cs="Times New Roman"/>
          <w:b/>
          <w:bCs/>
          <w:kern w:val="28"/>
          <w:sz w:val="32"/>
          <w:szCs w:val="32"/>
          <w:lang w:eastAsia="es-ES" w:bidi="ar-SA"/>
        </w:rPr>
        <w:t xml:space="preserve">Uso agnóstico y coherente de los estándares de información sanitaria </w:t>
      </w:r>
    </w:p>
    <w:p w14:paraId="7C76DFD1" w14:textId="3526D8E9" w:rsidR="00CE25D5" w:rsidRPr="00CE25D5" w:rsidRDefault="00CE25D5" w:rsidP="00CE25D5">
      <w:pPr>
        <w:spacing w:after="0"/>
        <w:jc w:val="center"/>
        <w:outlineLvl w:val="1"/>
        <w:rPr>
          <w:rFonts w:ascii="Calibri" w:eastAsia="Calibri" w:hAnsi="Calibri" w:cs="Times New Roman"/>
          <w:sz w:val="24"/>
          <w:szCs w:val="24"/>
          <w:lang w:bidi="ar-SA"/>
        </w:rPr>
      </w:pPr>
      <w:r>
        <w:rPr>
          <w:rFonts w:ascii="Calibri Light" w:eastAsia="Times New Roman" w:hAnsi="Calibri Light" w:cs="Times New Roman"/>
          <w:sz w:val="24"/>
          <w:szCs w:val="24"/>
          <w:lang w:eastAsia="es-ES" w:bidi="ar-SA"/>
        </w:rPr>
        <w:t>Dr. Miguel Pedrera Jiménez</w:t>
      </w:r>
    </w:p>
    <w:p w14:paraId="1FE01CE2" w14:textId="77777777" w:rsidR="00CE25D5" w:rsidRDefault="00CE25D5"/>
    <w:p w14:paraId="12F42EFC" w14:textId="2E5C240F" w:rsidR="00037535" w:rsidRDefault="00CE25D5">
      <w:r>
        <w:t xml:space="preserve">Las Plataformas y Espacios de Datos Sanitarios nos ofrecen un marco no sólo tecnológico, sino también de gobernanza para el uso de la información de salud en asistencia y uso secundario. Dentro de esta gobernanza, uno de los puntos claves es la </w:t>
      </w:r>
      <w:proofErr w:type="spellStart"/>
      <w:proofErr w:type="gramStart"/>
      <w:r>
        <w:t>adopción,de</w:t>
      </w:r>
      <w:proofErr w:type="spellEnd"/>
      <w:proofErr w:type="gramEnd"/>
      <w:r>
        <w:t xml:space="preserve"> estándares de información sanitaria, ya que son el mecanismo para manejar la </w:t>
      </w:r>
      <w:proofErr w:type="spellStart"/>
      <w:r>
        <w:t>semantica</w:t>
      </w:r>
      <w:proofErr w:type="spellEnd"/>
      <w:r>
        <w:t xml:space="preserve"> de la información de manera equivalente y procesable entre niveles asistenciales, y entre diferentes organizaciones. Esta </w:t>
      </w:r>
      <w:proofErr w:type="spellStart"/>
      <w:r>
        <w:t>adopcion</w:t>
      </w:r>
      <w:proofErr w:type="spellEnd"/>
      <w:r>
        <w:t xml:space="preserve"> de estándares debe realizarse de una manera agnóstica y coherente, cada especificación para el propósito para el que fue diseñada, como son el modelado, la persistencia, la interoperabilidad y la reutilización de los datos. En esta píldora formativa se presenta un marco agnóstico para la utilización de los principales estándares, como son </w:t>
      </w:r>
      <w:proofErr w:type="spellStart"/>
      <w:r>
        <w:t>openEHR</w:t>
      </w:r>
      <w:proofErr w:type="spellEnd"/>
      <w:r>
        <w:t>, HL7 FHIR, OMOP CDM y SNOMED CT, en las plataformas y espacios de datos sanitarios de nueva generación, basado en las recomendaciones de expertos internacionales en informática médica y salud digital.</w:t>
      </w:r>
    </w:p>
    <w:sectPr w:rsidR="000375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D5"/>
    <w:rsid w:val="00037535"/>
    <w:rsid w:val="000C3391"/>
    <w:rsid w:val="002605D7"/>
    <w:rsid w:val="002F10DD"/>
    <w:rsid w:val="007B7C0E"/>
    <w:rsid w:val="00AB3EE8"/>
    <w:rsid w:val="00CA7801"/>
    <w:rsid w:val="00CE25D5"/>
    <w:rsid w:val="00D9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1E42F"/>
  <w15:chartTrackingRefBased/>
  <w15:docId w15:val="{EF463DCE-1C83-4B57-8AAC-6C6F5AE8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2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2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2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2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2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2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2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2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2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2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2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2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25D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25D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25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25D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25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25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2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2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2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2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2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25D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25D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25D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2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25D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2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Monteagudo Peña</dc:creator>
  <cp:keywords/>
  <dc:description/>
  <cp:lastModifiedBy>Jose Luis Monteagudo Peña</cp:lastModifiedBy>
  <cp:revision>1</cp:revision>
  <dcterms:created xsi:type="dcterms:W3CDTF">2026-06-05T08:38:00Z</dcterms:created>
  <dcterms:modified xsi:type="dcterms:W3CDTF">2026-06-05T08:46:00Z</dcterms:modified>
</cp:coreProperties>
</file>